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360"/>
        <w:gridCol w:w="908"/>
        <w:gridCol w:w="454"/>
        <w:gridCol w:w="1360"/>
        <w:gridCol w:w="1357"/>
      </w:tblGrid>
      <w:tr w:rsidR="00E65D59" w:rsidRPr="00C50FE6" w:rsidTr="00C50FE6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E65D59" w:rsidRPr="00C50FE6" w:rsidRDefault="00A80A00">
            <w:pPr>
              <w:ind w:left="113" w:right="113"/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To be completed by  Course Team</w:t>
            </w:r>
          </w:p>
        </w:tc>
        <w:tc>
          <w:tcPr>
            <w:tcW w:w="6340" w:type="dxa"/>
            <w:gridSpan w:val="6"/>
          </w:tcPr>
          <w:p w:rsidR="007E36D1" w:rsidRPr="00C50FE6" w:rsidRDefault="004B53B3" w:rsidP="00EA22EE">
            <w:pPr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Module name</w:t>
            </w:r>
            <w:r w:rsidR="009F2B40" w:rsidRPr="00C50FE6">
              <w:rPr>
                <w:rFonts w:ascii="Cambria" w:hAnsi="Cambria"/>
                <w:lang w:val="en-US"/>
              </w:rPr>
              <w:t xml:space="preserve"> </w:t>
            </w:r>
            <w:r w:rsidR="00E65D59" w:rsidRPr="00C50FE6">
              <w:rPr>
                <w:rFonts w:ascii="Cambria" w:hAnsi="Cambria"/>
                <w:lang w:val="en-US"/>
              </w:rPr>
              <w:t xml:space="preserve">: </w:t>
            </w:r>
            <w:r w:rsidR="00C50FE6" w:rsidRPr="00C50FE6">
              <w:rPr>
                <w:rFonts w:ascii="Book Antiqua" w:hAnsi="Book Antiqua"/>
                <w:b/>
                <w:lang w:val="en-US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Pr="00C50FE6" w:rsidRDefault="004B53B3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Module </w:t>
            </w:r>
            <w:proofErr w:type="spellStart"/>
            <w:r w:rsidRPr="00C50FE6">
              <w:rPr>
                <w:rFonts w:ascii="Cambria" w:hAnsi="Cambria"/>
              </w:rPr>
              <w:t>code</w:t>
            </w:r>
            <w:proofErr w:type="spellEnd"/>
            <w:r w:rsidR="00E65D59" w:rsidRPr="00C50FE6">
              <w:rPr>
                <w:rFonts w:ascii="Cambria" w:hAnsi="Cambria"/>
              </w:rPr>
              <w:t>:</w:t>
            </w:r>
          </w:p>
        </w:tc>
      </w:tr>
      <w:tr w:rsidR="00E65D59" w:rsidRPr="00C50FE6" w:rsidTr="00C50FE6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E65D59" w:rsidRPr="00C50FE6" w:rsidRDefault="00E65D5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6340" w:type="dxa"/>
            <w:gridSpan w:val="6"/>
          </w:tcPr>
          <w:p w:rsidR="00E65D59" w:rsidRPr="00C50FE6" w:rsidRDefault="004B53B3">
            <w:pPr>
              <w:rPr>
                <w:rFonts w:ascii="Cambria" w:hAnsi="Cambria"/>
                <w:b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Course name</w:t>
            </w:r>
            <w:r w:rsidR="00E65D59" w:rsidRPr="00C50FE6">
              <w:rPr>
                <w:rFonts w:ascii="Cambria" w:hAnsi="Cambria"/>
                <w:lang w:val="en-US"/>
              </w:rPr>
              <w:t xml:space="preserve">: </w:t>
            </w:r>
            <w:r w:rsidR="00353833" w:rsidRPr="00C50FE6">
              <w:rPr>
                <w:rFonts w:ascii="Book Antiqua" w:hAnsi="Book Antiqua"/>
                <w:b/>
                <w:lang w:val="en-US"/>
              </w:rPr>
              <w:t>Internet Law (</w:t>
            </w:r>
            <w:proofErr w:type="spellStart"/>
            <w:r w:rsidR="00353833" w:rsidRPr="00C50FE6">
              <w:rPr>
                <w:rFonts w:ascii="Book Antiqua" w:hAnsi="Book Antiqua"/>
                <w:b/>
                <w:lang w:val="en-US"/>
              </w:rPr>
              <w:t>Cyberlaw</w:t>
            </w:r>
            <w:proofErr w:type="spellEnd"/>
            <w:r w:rsidR="00353833" w:rsidRPr="00C50FE6">
              <w:rPr>
                <w:rFonts w:ascii="Book Antiqua" w:hAnsi="Book Antiqua"/>
                <w:b/>
                <w:lang w:val="en-US"/>
              </w:rPr>
              <w:t>)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Pr="00C50FE6" w:rsidRDefault="004B53B3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Course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code</w:t>
            </w:r>
            <w:proofErr w:type="spellEnd"/>
            <w:r w:rsidR="00E65D59" w:rsidRPr="00C50FE6">
              <w:rPr>
                <w:rFonts w:ascii="Cambria" w:hAnsi="Cambria"/>
              </w:rPr>
              <w:t>:</w:t>
            </w:r>
          </w:p>
        </w:tc>
      </w:tr>
      <w:tr w:rsidR="00E65D59" w:rsidRPr="00C50FE6" w:rsidTr="00C50FE6">
        <w:trPr>
          <w:cantSplit/>
        </w:trPr>
        <w:tc>
          <w:tcPr>
            <w:tcW w:w="497" w:type="dxa"/>
            <w:vMerge/>
          </w:tcPr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9511" w:type="dxa"/>
            <w:gridSpan w:val="9"/>
          </w:tcPr>
          <w:p w:rsidR="00E65D59" w:rsidRPr="00C50FE6" w:rsidRDefault="006D6C70">
            <w:pPr>
              <w:rPr>
                <w:rFonts w:ascii="Cambria" w:hAnsi="Cambria"/>
                <w:color w:val="000000"/>
              </w:rPr>
            </w:pPr>
            <w:proofErr w:type="spellStart"/>
            <w:r w:rsidRPr="00C50FE6">
              <w:rPr>
                <w:rFonts w:ascii="Cambria" w:hAnsi="Cambria"/>
              </w:rPr>
              <w:t>Faculty</w:t>
            </w:r>
            <w:proofErr w:type="spellEnd"/>
            <w:r w:rsidR="00333D28" w:rsidRPr="00C50FE6">
              <w:rPr>
                <w:rFonts w:ascii="Cambria" w:hAnsi="Cambria"/>
                <w:color w:val="000000"/>
              </w:rPr>
              <w:t>:</w:t>
            </w:r>
            <w:r w:rsidR="00353833" w:rsidRPr="00C50FE6">
              <w:rPr>
                <w:rFonts w:ascii="Cambria" w:hAnsi="Cambria"/>
                <w:color w:val="000000"/>
              </w:rPr>
              <w:t xml:space="preserve"> </w:t>
            </w:r>
            <w:r w:rsidR="00353833" w:rsidRPr="00C50FE6">
              <w:rPr>
                <w:rFonts w:ascii="Book Antiqua" w:hAnsi="Book Antiqua"/>
                <w:b/>
              </w:rPr>
              <w:t>Instytut Ekonomiczny</w:t>
            </w:r>
          </w:p>
        </w:tc>
      </w:tr>
      <w:tr w:rsidR="00E65D59" w:rsidRPr="00C50FE6" w:rsidTr="00C50FE6">
        <w:trPr>
          <w:cantSplit/>
        </w:trPr>
        <w:tc>
          <w:tcPr>
            <w:tcW w:w="497" w:type="dxa"/>
            <w:vMerge/>
          </w:tcPr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9511" w:type="dxa"/>
            <w:gridSpan w:val="9"/>
          </w:tcPr>
          <w:p w:rsidR="00E65D59" w:rsidRPr="00C50FE6" w:rsidRDefault="009F2B40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Field of </w:t>
            </w:r>
            <w:proofErr w:type="spellStart"/>
            <w:r w:rsidRPr="00C50FE6">
              <w:rPr>
                <w:rFonts w:ascii="Cambria" w:hAnsi="Cambria"/>
              </w:rPr>
              <w:t>study</w:t>
            </w:r>
            <w:proofErr w:type="spellEnd"/>
            <w:r w:rsidR="00E65D59" w:rsidRPr="00C50FE6">
              <w:rPr>
                <w:rFonts w:ascii="Cambria" w:hAnsi="Cambria"/>
              </w:rPr>
              <w:t>:</w:t>
            </w:r>
            <w:r w:rsidR="00353833" w:rsidRPr="00C50FE6">
              <w:rPr>
                <w:rFonts w:ascii="Cambria" w:hAnsi="Cambria"/>
              </w:rPr>
              <w:t xml:space="preserve"> </w:t>
            </w:r>
            <w:r w:rsidR="00353833" w:rsidRPr="00C50FE6">
              <w:rPr>
                <w:rFonts w:ascii="Cambria" w:hAnsi="Cambria"/>
                <w:b/>
              </w:rPr>
              <w:t>Ekonomia</w:t>
            </w:r>
          </w:p>
        </w:tc>
      </w:tr>
      <w:tr w:rsidR="00E65D59" w:rsidRPr="00C50FE6" w:rsidTr="00C50FE6">
        <w:trPr>
          <w:cantSplit/>
        </w:trPr>
        <w:tc>
          <w:tcPr>
            <w:tcW w:w="497" w:type="dxa"/>
            <w:vMerge/>
          </w:tcPr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3167" w:type="dxa"/>
            <w:gridSpan w:val="3"/>
          </w:tcPr>
          <w:p w:rsidR="00E65D59" w:rsidRPr="00C50FE6" w:rsidRDefault="00885341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Mode</w:t>
            </w:r>
            <w:proofErr w:type="spellEnd"/>
            <w:r w:rsidRPr="00C50FE6">
              <w:rPr>
                <w:rFonts w:ascii="Cambria" w:hAnsi="Cambria"/>
              </w:rPr>
              <w:t xml:space="preserve"> of </w:t>
            </w:r>
            <w:proofErr w:type="spellStart"/>
            <w:r w:rsidRPr="00C50FE6">
              <w:rPr>
                <w:rFonts w:ascii="Cambria" w:hAnsi="Cambria"/>
              </w:rPr>
              <w:t>study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r w:rsidR="009F2B40" w:rsidRPr="00C50FE6">
              <w:rPr>
                <w:rFonts w:ascii="Cambria" w:hAnsi="Cambria"/>
              </w:rPr>
              <w:t>:</w:t>
            </w:r>
            <w:r w:rsidR="00353833" w:rsidRPr="00C50FE6">
              <w:rPr>
                <w:rFonts w:ascii="Cambria" w:hAnsi="Cambria"/>
              </w:rPr>
              <w:t xml:space="preserve"> </w:t>
            </w:r>
            <w:r w:rsidR="00353833" w:rsidRPr="00C50FE6">
              <w:rPr>
                <w:rFonts w:ascii="Cambria" w:hAnsi="Cambria"/>
                <w:b/>
              </w:rPr>
              <w:t>SS</w:t>
            </w:r>
          </w:p>
          <w:p w:rsidR="00E65D59" w:rsidRPr="00C50FE6" w:rsidRDefault="00E65D59">
            <w:pPr>
              <w:rPr>
                <w:rFonts w:ascii="Cambria" w:hAnsi="Cambria"/>
                <w:b/>
              </w:rPr>
            </w:pPr>
          </w:p>
        </w:tc>
        <w:tc>
          <w:tcPr>
            <w:tcW w:w="3173" w:type="dxa"/>
            <w:gridSpan w:val="3"/>
          </w:tcPr>
          <w:p w:rsidR="00E65D59" w:rsidRPr="00C50FE6" w:rsidRDefault="009F2B40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>Learning profile</w:t>
            </w:r>
            <w:r w:rsidR="00E65D59" w:rsidRPr="00C50FE6">
              <w:rPr>
                <w:rFonts w:ascii="Cambria" w:hAnsi="Cambria"/>
              </w:rPr>
              <w:t>:</w:t>
            </w:r>
          </w:p>
          <w:p w:rsidR="00E65D59" w:rsidRPr="00C50FE6" w:rsidRDefault="00353833">
            <w:pPr>
              <w:rPr>
                <w:rFonts w:ascii="Book Antiqua" w:hAnsi="Book Antiqua"/>
                <w:b/>
              </w:rPr>
            </w:pPr>
            <w:r w:rsidRPr="00C50FE6">
              <w:rPr>
                <w:rFonts w:ascii="Book Antiqua" w:hAnsi="Book Antiqua"/>
                <w:b/>
              </w:rPr>
              <w:t>Praktyczny</w:t>
            </w:r>
          </w:p>
        </w:tc>
        <w:tc>
          <w:tcPr>
            <w:tcW w:w="3171" w:type="dxa"/>
            <w:gridSpan w:val="3"/>
          </w:tcPr>
          <w:p w:rsidR="00E65D59" w:rsidRPr="00C50FE6" w:rsidRDefault="006D6C70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Speciality</w:t>
            </w:r>
            <w:proofErr w:type="spellEnd"/>
            <w:r w:rsidR="00333D28" w:rsidRPr="00C50FE6">
              <w:rPr>
                <w:rFonts w:ascii="Cambria" w:hAnsi="Cambria"/>
              </w:rPr>
              <w:t xml:space="preserve">: </w:t>
            </w:r>
          </w:p>
          <w:p w:rsidR="007E36D1" w:rsidRPr="00C50FE6" w:rsidRDefault="00353833">
            <w:pPr>
              <w:rPr>
                <w:rFonts w:ascii="Cambria" w:hAnsi="Cambria"/>
              </w:rPr>
            </w:pPr>
            <w:r w:rsidRPr="00C50FE6">
              <w:rPr>
                <w:b/>
              </w:rPr>
              <w:t>EPL</w:t>
            </w:r>
          </w:p>
        </w:tc>
      </w:tr>
      <w:tr w:rsidR="00E65D59" w:rsidRPr="00C50FE6" w:rsidTr="00C50FE6">
        <w:trPr>
          <w:cantSplit/>
        </w:trPr>
        <w:tc>
          <w:tcPr>
            <w:tcW w:w="497" w:type="dxa"/>
            <w:vMerge/>
          </w:tcPr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3167" w:type="dxa"/>
            <w:gridSpan w:val="3"/>
            <w:shd w:val="clear" w:color="auto" w:fill="FFFFFF" w:themeFill="background1"/>
          </w:tcPr>
          <w:p w:rsidR="00E65D59" w:rsidRPr="00C50FE6" w:rsidRDefault="006D6C70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Year</w:t>
            </w:r>
            <w:proofErr w:type="spellEnd"/>
            <w:r w:rsidR="00E65D59" w:rsidRPr="00C50FE6">
              <w:rPr>
                <w:rFonts w:ascii="Cambria" w:hAnsi="Cambria"/>
              </w:rPr>
              <w:t xml:space="preserve">/ </w:t>
            </w:r>
            <w:proofErr w:type="spellStart"/>
            <w:r w:rsidR="00E65D59" w:rsidRPr="00C50FE6">
              <w:rPr>
                <w:rFonts w:ascii="Cambria" w:hAnsi="Cambria"/>
              </w:rPr>
              <w:t>semest</w:t>
            </w:r>
            <w:r w:rsidRPr="00C50FE6">
              <w:rPr>
                <w:rFonts w:ascii="Cambria" w:hAnsi="Cambria"/>
              </w:rPr>
              <w:t>e</w:t>
            </w:r>
            <w:r w:rsidR="00E65D59" w:rsidRPr="00C50FE6">
              <w:rPr>
                <w:rFonts w:ascii="Cambria" w:hAnsi="Cambria"/>
              </w:rPr>
              <w:t>r</w:t>
            </w:r>
            <w:proofErr w:type="spellEnd"/>
            <w:r w:rsidR="00E65D59" w:rsidRPr="00C50FE6">
              <w:rPr>
                <w:rFonts w:ascii="Cambria" w:hAnsi="Cambria"/>
              </w:rPr>
              <w:t xml:space="preserve">: </w:t>
            </w:r>
            <w:r w:rsidR="00353833" w:rsidRPr="00C50FE6">
              <w:t>1/1</w:t>
            </w:r>
          </w:p>
        </w:tc>
        <w:tc>
          <w:tcPr>
            <w:tcW w:w="3173" w:type="dxa"/>
            <w:gridSpan w:val="3"/>
          </w:tcPr>
          <w:p w:rsidR="00E65D59" w:rsidRPr="00C50FE6" w:rsidRDefault="00D03679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Module/ </w:t>
            </w:r>
            <w:proofErr w:type="spellStart"/>
            <w:r w:rsidRPr="00C50FE6">
              <w:rPr>
                <w:rFonts w:ascii="Cambria" w:hAnsi="Cambria"/>
              </w:rPr>
              <w:t>course</w:t>
            </w:r>
            <w:proofErr w:type="spellEnd"/>
            <w:r w:rsidRPr="00C50FE6">
              <w:rPr>
                <w:rFonts w:ascii="Cambria" w:hAnsi="Cambria"/>
              </w:rPr>
              <w:t xml:space="preserve"> status</w:t>
            </w:r>
            <w:r w:rsidR="00E65D59" w:rsidRPr="00C50FE6">
              <w:rPr>
                <w:rFonts w:ascii="Cambria" w:hAnsi="Cambria"/>
              </w:rPr>
              <w:t>:</w:t>
            </w:r>
          </w:p>
          <w:p w:rsidR="00E65D59" w:rsidRPr="00C50FE6" w:rsidRDefault="00353833">
            <w:pPr>
              <w:rPr>
                <w:rFonts w:ascii="Cambria" w:hAnsi="Cambria"/>
              </w:rPr>
            </w:pPr>
            <w:r w:rsidRPr="00C50FE6">
              <w:rPr>
                <w:rFonts w:ascii="Book Antiqua" w:hAnsi="Book Antiqua"/>
                <w:b/>
              </w:rPr>
              <w:t>Fakultatywny</w:t>
            </w:r>
          </w:p>
        </w:tc>
        <w:tc>
          <w:tcPr>
            <w:tcW w:w="3171" w:type="dxa"/>
            <w:gridSpan w:val="3"/>
          </w:tcPr>
          <w:p w:rsidR="00E65D59" w:rsidRPr="00C50FE6" w:rsidRDefault="00D03679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Module/ </w:t>
            </w:r>
            <w:proofErr w:type="spellStart"/>
            <w:r w:rsidRPr="00C50FE6">
              <w:rPr>
                <w:rFonts w:ascii="Cambria" w:hAnsi="Cambria"/>
              </w:rPr>
              <w:t>course</w:t>
            </w:r>
            <w:proofErr w:type="spellEnd"/>
            <w:r w:rsidR="004B53B3" w:rsidRPr="00C50FE6">
              <w:rPr>
                <w:rFonts w:ascii="Cambria" w:hAnsi="Cambria"/>
              </w:rPr>
              <w:t xml:space="preserve"> </w:t>
            </w:r>
            <w:proofErr w:type="spellStart"/>
            <w:r w:rsidR="004B53B3" w:rsidRPr="00C50FE6">
              <w:rPr>
                <w:rFonts w:ascii="Cambria" w:hAnsi="Cambria"/>
              </w:rPr>
              <w:t>language</w:t>
            </w:r>
            <w:proofErr w:type="spellEnd"/>
            <w:r w:rsidR="00E65D59" w:rsidRPr="00C50FE6">
              <w:rPr>
                <w:rFonts w:ascii="Cambria" w:hAnsi="Cambria"/>
              </w:rPr>
              <w:t>:</w:t>
            </w:r>
          </w:p>
          <w:p w:rsidR="00E65D59" w:rsidRPr="00C50FE6" w:rsidRDefault="00353833">
            <w:pPr>
              <w:rPr>
                <w:rFonts w:ascii="Cambria" w:hAnsi="Cambria"/>
              </w:rPr>
            </w:pPr>
            <w:r w:rsidRPr="00C50FE6">
              <w:rPr>
                <w:rFonts w:ascii="Book Antiqua" w:hAnsi="Book Antiqua"/>
                <w:b/>
              </w:rPr>
              <w:t>angielski</w:t>
            </w:r>
          </w:p>
        </w:tc>
      </w:tr>
      <w:tr w:rsidR="00E65D59" w:rsidRPr="00C50FE6" w:rsidTr="00C50FE6">
        <w:trPr>
          <w:cantSplit/>
        </w:trPr>
        <w:tc>
          <w:tcPr>
            <w:tcW w:w="497" w:type="dxa"/>
            <w:vMerge/>
          </w:tcPr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1357" w:type="dxa"/>
          </w:tcPr>
          <w:p w:rsidR="00E65D59" w:rsidRPr="00C50FE6" w:rsidRDefault="006D6C70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Type</w:t>
            </w:r>
            <w:proofErr w:type="spellEnd"/>
            <w:r w:rsidRPr="00C50FE6">
              <w:rPr>
                <w:rFonts w:ascii="Cambria" w:hAnsi="Cambria"/>
              </w:rPr>
              <w:t xml:space="preserve"> of </w:t>
            </w:r>
            <w:proofErr w:type="spellStart"/>
            <w:r w:rsidRPr="00C50FE6">
              <w:rPr>
                <w:rFonts w:ascii="Cambria" w:hAnsi="Cambria"/>
              </w:rPr>
              <w:t>classes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Pr="00C50FE6" w:rsidRDefault="004B53B3">
            <w:pPr>
              <w:jc w:val="center"/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lecture</w:t>
            </w:r>
            <w:proofErr w:type="spellEnd"/>
          </w:p>
        </w:tc>
        <w:tc>
          <w:tcPr>
            <w:tcW w:w="1358" w:type="dxa"/>
            <w:gridSpan w:val="2"/>
            <w:vAlign w:val="center"/>
          </w:tcPr>
          <w:p w:rsidR="00E65D59" w:rsidRPr="00C50FE6" w:rsidRDefault="00333D28">
            <w:pPr>
              <w:jc w:val="center"/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lessons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Pr="00C50FE6" w:rsidRDefault="004B53B3">
            <w:pPr>
              <w:jc w:val="center"/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>lab</w:t>
            </w:r>
          </w:p>
        </w:tc>
        <w:tc>
          <w:tcPr>
            <w:tcW w:w="1362" w:type="dxa"/>
            <w:gridSpan w:val="2"/>
            <w:vAlign w:val="center"/>
          </w:tcPr>
          <w:p w:rsidR="00E65D59" w:rsidRPr="00C50FE6" w:rsidRDefault="004B53B3">
            <w:pPr>
              <w:jc w:val="center"/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project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Pr="00C50FE6" w:rsidRDefault="00333D28" w:rsidP="004B53B3">
            <w:pPr>
              <w:jc w:val="center"/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tutorial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Pr="00C50FE6" w:rsidRDefault="004B53B3">
            <w:pPr>
              <w:jc w:val="center"/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other</w:t>
            </w:r>
            <w:proofErr w:type="spellEnd"/>
            <w:r w:rsidRPr="00C50FE6">
              <w:rPr>
                <w:rFonts w:ascii="Cambria" w:hAnsi="Cambria"/>
              </w:rPr>
              <w:t xml:space="preserve"> (</w:t>
            </w:r>
            <w:proofErr w:type="spellStart"/>
            <w:r w:rsidRPr="00C50FE6">
              <w:rPr>
                <w:rFonts w:ascii="Cambria" w:hAnsi="Cambria"/>
              </w:rPr>
              <w:t>please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specify</w:t>
            </w:r>
            <w:proofErr w:type="spellEnd"/>
            <w:r w:rsidRPr="00C50FE6">
              <w:rPr>
                <w:rFonts w:ascii="Cambria" w:hAnsi="Cambria"/>
              </w:rPr>
              <w:t>)</w:t>
            </w:r>
          </w:p>
        </w:tc>
      </w:tr>
      <w:tr w:rsidR="00E65D59" w:rsidRPr="00C50FE6" w:rsidTr="00C50FE6">
        <w:trPr>
          <w:cantSplit/>
        </w:trPr>
        <w:tc>
          <w:tcPr>
            <w:tcW w:w="497" w:type="dxa"/>
            <w:vMerge/>
          </w:tcPr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1357" w:type="dxa"/>
          </w:tcPr>
          <w:p w:rsidR="00E65D59" w:rsidRPr="00C50FE6" w:rsidRDefault="00A13702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Course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load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E65D59" w:rsidRPr="00C50FE6" w:rsidRDefault="00353833">
            <w:pPr>
              <w:jc w:val="center"/>
              <w:rPr>
                <w:rFonts w:ascii="Cambria" w:hAnsi="Cambria"/>
                <w:b/>
              </w:rPr>
            </w:pPr>
            <w:r w:rsidRPr="00C50FE6">
              <w:rPr>
                <w:rFonts w:ascii="Cambria" w:hAnsi="Cambria"/>
                <w:b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E65D59" w:rsidRPr="00C50FE6" w:rsidRDefault="00E65D5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60" w:type="dxa"/>
            <w:vAlign w:val="center"/>
          </w:tcPr>
          <w:p w:rsidR="00E65D59" w:rsidRPr="00C50FE6" w:rsidRDefault="00E65D5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65D59" w:rsidRPr="00C50FE6" w:rsidRDefault="00E65D5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60" w:type="dxa"/>
            <w:vAlign w:val="center"/>
          </w:tcPr>
          <w:p w:rsidR="00E65D59" w:rsidRPr="00C50FE6" w:rsidRDefault="00E65D5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57" w:type="dxa"/>
            <w:vAlign w:val="center"/>
          </w:tcPr>
          <w:p w:rsidR="00E65D59" w:rsidRPr="00C50FE6" w:rsidRDefault="00E65D59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E65D59" w:rsidRPr="00C50FE6" w:rsidRDefault="00E65D59">
      <w:pPr>
        <w:rPr>
          <w:rFonts w:ascii="Cambria" w:hAnsi="Cambria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E65D59" w:rsidRPr="00C50FE6" w:rsidTr="00353833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E65D59" w:rsidRPr="00C50FE6" w:rsidRDefault="00885341">
            <w:pPr>
              <w:rPr>
                <w:rFonts w:ascii="Cambria" w:hAnsi="Cambria"/>
                <w:color w:val="FF0000"/>
              </w:rPr>
            </w:pPr>
            <w:r w:rsidRPr="00C50FE6">
              <w:rPr>
                <w:rFonts w:ascii="Cambria" w:hAnsi="Cambria"/>
              </w:rPr>
              <w:t xml:space="preserve">Module/ </w:t>
            </w:r>
            <w:proofErr w:type="spellStart"/>
            <w:r w:rsidRPr="00C50FE6">
              <w:rPr>
                <w:rFonts w:ascii="Cambria" w:hAnsi="Cambria"/>
              </w:rPr>
              <w:t>course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coordinator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E65D59" w:rsidRPr="00C50FE6" w:rsidRDefault="00353833" w:rsidP="00B71C24">
            <w:pPr>
              <w:rPr>
                <w:rFonts w:ascii="Cambria" w:hAnsi="Cambria"/>
              </w:rPr>
            </w:pPr>
            <w:r w:rsidRPr="00C50FE6">
              <w:rPr>
                <w:rFonts w:ascii="Book Antiqua" w:hAnsi="Book Antiqua"/>
              </w:rPr>
              <w:t xml:space="preserve">Dr Edvard </w:t>
            </w:r>
            <w:proofErr w:type="spellStart"/>
            <w:r w:rsidRPr="00C50FE6">
              <w:rPr>
                <w:rFonts w:ascii="Book Antiqua" w:hAnsi="Book Antiqua"/>
              </w:rPr>
              <w:t>Juchnevic</w:t>
            </w:r>
            <w:proofErr w:type="spellEnd"/>
          </w:p>
        </w:tc>
      </w:tr>
      <w:tr w:rsidR="00E65D59" w:rsidRPr="00C50FE6" w:rsidTr="00353833">
        <w:tc>
          <w:tcPr>
            <w:tcW w:w="2988" w:type="dxa"/>
            <w:vAlign w:val="center"/>
          </w:tcPr>
          <w:p w:rsidR="00E65D59" w:rsidRPr="00C50FE6" w:rsidRDefault="00685365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Lecturer</w:t>
            </w:r>
            <w:proofErr w:type="spellEnd"/>
          </w:p>
        </w:tc>
        <w:tc>
          <w:tcPr>
            <w:tcW w:w="7020" w:type="dxa"/>
            <w:vAlign w:val="center"/>
          </w:tcPr>
          <w:p w:rsidR="00353833" w:rsidRPr="00C50FE6" w:rsidRDefault="00353833" w:rsidP="00353833">
            <w:pPr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 xml:space="preserve">Dr </w:t>
            </w:r>
            <w:r w:rsidRPr="00C50FE6">
              <w:rPr>
                <w:rFonts w:ascii="Book Antiqua" w:hAnsi="Book Antiqua"/>
                <w:lang w:val="lt-LT"/>
              </w:rPr>
              <w:t>Edvard Juchnevic</w:t>
            </w:r>
          </w:p>
          <w:p w:rsidR="00E65D59" w:rsidRPr="00C50FE6" w:rsidRDefault="00E65D59">
            <w:pPr>
              <w:rPr>
                <w:rFonts w:ascii="Cambria" w:hAnsi="Cambria"/>
              </w:rPr>
            </w:pPr>
          </w:p>
        </w:tc>
      </w:tr>
      <w:tr w:rsidR="00E65D59" w:rsidRPr="00C50FE6" w:rsidTr="00353833">
        <w:tc>
          <w:tcPr>
            <w:tcW w:w="2988" w:type="dxa"/>
            <w:vAlign w:val="center"/>
          </w:tcPr>
          <w:p w:rsidR="00E65D59" w:rsidRPr="00C50FE6" w:rsidRDefault="00885341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Module/ </w:t>
            </w:r>
            <w:proofErr w:type="spellStart"/>
            <w:r w:rsidRPr="00C50FE6">
              <w:rPr>
                <w:rFonts w:ascii="Cambria" w:hAnsi="Cambria"/>
              </w:rPr>
              <w:t>course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objectives</w:t>
            </w:r>
            <w:proofErr w:type="spellEnd"/>
          </w:p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7020" w:type="dxa"/>
            <w:vAlign w:val="center"/>
          </w:tcPr>
          <w:p w:rsidR="00603F8A" w:rsidRPr="00C50FE6" w:rsidRDefault="00353833" w:rsidP="00F96FE9">
            <w:pPr>
              <w:rPr>
                <w:rFonts w:ascii="Cambria" w:hAnsi="Cambri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This course will introduce students to the law and basic legal problems and let them to analyze the relevant legal issues.</w:t>
            </w:r>
          </w:p>
        </w:tc>
      </w:tr>
      <w:tr w:rsidR="00353833" w:rsidRPr="00C50FE6" w:rsidTr="00353833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353833" w:rsidRPr="00C50FE6" w:rsidRDefault="00353833" w:rsidP="00353833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Entry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requirements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353833" w:rsidRPr="00C50FE6" w:rsidRDefault="00353833" w:rsidP="00C50FE6">
            <w:pPr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Good command of English language.</w:t>
            </w:r>
          </w:p>
        </w:tc>
      </w:tr>
    </w:tbl>
    <w:p w:rsidR="009807E5" w:rsidRPr="00353833" w:rsidRDefault="009807E5">
      <w:pPr>
        <w:rPr>
          <w:rFonts w:ascii="Cambria" w:hAnsi="Cambria"/>
          <w:sz w:val="24"/>
          <w:szCs w:val="24"/>
          <w:lang w:val="en-US"/>
        </w:rPr>
      </w:pPr>
    </w:p>
    <w:tbl>
      <w:tblPr>
        <w:tblW w:w="1003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840"/>
        <w:gridCol w:w="1283"/>
      </w:tblGrid>
      <w:tr w:rsidR="00E65D59" w:rsidRPr="00C50FE6" w:rsidTr="008F4F06">
        <w:trPr>
          <w:cantSplit/>
        </w:trPr>
        <w:tc>
          <w:tcPr>
            <w:tcW w:w="1003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65D59" w:rsidRPr="00C50FE6" w:rsidRDefault="00685365">
            <w:pPr>
              <w:jc w:val="center"/>
              <w:rPr>
                <w:rFonts w:ascii="Cambria" w:hAnsi="Cambria"/>
              </w:rPr>
            </w:pPr>
            <w:r w:rsidRPr="00C50FE6">
              <w:rPr>
                <w:rFonts w:ascii="Cambria" w:hAnsi="Cambria"/>
                <w:b/>
              </w:rPr>
              <w:t>LEARNING OUTCOME</w:t>
            </w:r>
          </w:p>
        </w:tc>
      </w:tr>
      <w:tr w:rsidR="00E65D59" w:rsidRPr="00C50FE6" w:rsidTr="008F4F0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65D59" w:rsidRPr="00C50FE6" w:rsidRDefault="00E65D59" w:rsidP="006A7718">
            <w:pPr>
              <w:jc w:val="center"/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>Nr</w:t>
            </w:r>
          </w:p>
        </w:tc>
        <w:tc>
          <w:tcPr>
            <w:tcW w:w="784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65D59" w:rsidRPr="00C50FE6" w:rsidRDefault="00685365">
            <w:pPr>
              <w:jc w:val="center"/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>LEARNING OUTCOME DESCRIPTION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D59" w:rsidRPr="00C50FE6" w:rsidRDefault="00696C94">
            <w:pPr>
              <w:jc w:val="center"/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Learning </w:t>
            </w:r>
            <w:proofErr w:type="spellStart"/>
            <w:r w:rsidRPr="00C50FE6">
              <w:rPr>
                <w:rFonts w:ascii="Cambria" w:hAnsi="Cambria"/>
              </w:rPr>
              <w:t>outcome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reference</w:t>
            </w:r>
            <w:proofErr w:type="spellEnd"/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jc w:val="both"/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characterizes, classifies the various institutions of Internet Law (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Cyberlaw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>);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  <w:r w:rsidRPr="00C50FE6">
              <w:t>K1P_W05</w:t>
            </w:r>
          </w:p>
          <w:p w:rsidR="00057261" w:rsidRPr="00C50FE6" w:rsidRDefault="00057261" w:rsidP="00C50FE6">
            <w:pPr>
              <w:jc w:val="center"/>
            </w:pPr>
            <w:r w:rsidRPr="00C50FE6">
              <w:t>K1P_W18</w:t>
            </w:r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rFonts w:ascii="Cambria" w:hAnsi="Cambri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characterizes, classifies the sources of Internet Law; explain main differences of different branches of law in the context of Internet Law;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  <w:r w:rsidRPr="00C50FE6">
              <w:t>K1P_W07</w:t>
            </w:r>
          </w:p>
          <w:p w:rsidR="00057261" w:rsidRPr="00C50FE6" w:rsidRDefault="00057261" w:rsidP="00057261">
            <w:pPr>
              <w:jc w:val="center"/>
            </w:pPr>
            <w:r w:rsidRPr="00C50FE6">
              <w:t>K1P_W09</w:t>
            </w:r>
          </w:p>
          <w:p w:rsidR="00057261" w:rsidRPr="00C50FE6" w:rsidRDefault="00057261" w:rsidP="00057261">
            <w:pPr>
              <w:jc w:val="center"/>
            </w:pPr>
            <w:r w:rsidRPr="00C50FE6">
              <w:t>K1P_</w:t>
            </w:r>
            <w:bookmarkStart w:id="0" w:name="_GoBack"/>
            <w:bookmarkEnd w:id="0"/>
            <w:r w:rsidRPr="00C50FE6">
              <w:t>W10</w:t>
            </w:r>
          </w:p>
          <w:p w:rsidR="00057261" w:rsidRPr="00C50FE6" w:rsidRDefault="00057261" w:rsidP="00057261">
            <w:pPr>
              <w:jc w:val="center"/>
            </w:pPr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rFonts w:ascii="Cambria" w:hAnsi="Cambri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explains basic principles of Internet Law.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  <w:r w:rsidRPr="00C50FE6">
              <w:t>K1P_W11</w:t>
            </w:r>
          </w:p>
          <w:p w:rsidR="00057261" w:rsidRPr="00C50FE6" w:rsidRDefault="00057261" w:rsidP="00057261">
            <w:pPr>
              <w:jc w:val="center"/>
            </w:pPr>
            <w:r w:rsidRPr="00C50FE6">
              <w:t>K1P_W12</w:t>
            </w:r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rFonts w:ascii="Cambria" w:hAnsi="Cambria"/>
                <w:color w:val="000000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after the course students will be skilled in analyzing of legal acts related to electronic business and electronic commerce;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  <w:r w:rsidRPr="00C50FE6">
              <w:t>K1P_U07</w:t>
            </w:r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jc w:val="both"/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after the course students will be skilled in analyzing of legal problems;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  <w:r w:rsidRPr="00C50FE6">
              <w:t>K1P_U08</w:t>
            </w:r>
          </w:p>
          <w:p w:rsidR="00057261" w:rsidRPr="00C50FE6" w:rsidRDefault="00057261" w:rsidP="00057261">
            <w:pPr>
              <w:jc w:val="center"/>
            </w:pPr>
            <w:r w:rsidRPr="00C50FE6">
              <w:t>K1P_U09</w:t>
            </w:r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jc w:val="both"/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after the course students will be skilled to find appropriate legal sources of Internet Law.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  <w:r w:rsidRPr="00C50FE6">
              <w:t>K1P_U10</w:t>
            </w:r>
          </w:p>
          <w:p w:rsidR="00057261" w:rsidRPr="00C50FE6" w:rsidRDefault="00057261" w:rsidP="00057261">
            <w:pPr>
              <w:jc w:val="center"/>
            </w:pPr>
            <w:r w:rsidRPr="00C50FE6">
              <w:t xml:space="preserve">K1P_U20 </w:t>
            </w:r>
          </w:p>
        </w:tc>
      </w:tr>
      <w:tr w:rsidR="00057261" w:rsidRPr="00C50FE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</w:pPr>
          </w:p>
        </w:tc>
      </w:tr>
      <w:tr w:rsidR="00057261" w:rsidRPr="00C50FE6" w:rsidTr="00EE166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 xml:space="preserve">during the course students will develop their skills in cooperation with each other during the group works and problem solving tasks;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261" w:rsidRPr="00C50FE6" w:rsidRDefault="00057261" w:rsidP="00057261">
            <w:pPr>
              <w:pStyle w:val="Akapitzlist"/>
              <w:ind w:left="0"/>
              <w:jc w:val="center"/>
            </w:pPr>
            <w:r w:rsidRPr="00C50FE6">
              <w:t>K1P_K01</w:t>
            </w:r>
          </w:p>
          <w:p w:rsidR="00057261" w:rsidRPr="00C50FE6" w:rsidRDefault="00057261" w:rsidP="00057261">
            <w:pPr>
              <w:pStyle w:val="Akapitzlist"/>
              <w:ind w:left="0"/>
              <w:jc w:val="center"/>
            </w:pPr>
            <w:r w:rsidRPr="00C50FE6">
              <w:t>K1P_K08</w:t>
            </w:r>
          </w:p>
        </w:tc>
      </w:tr>
      <w:tr w:rsidR="00057261" w:rsidRPr="00C50FE6" w:rsidTr="00EE166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also students will be able to take an active part in discussions on topics related to electronic business and electronic commerce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261" w:rsidRPr="00C50FE6" w:rsidRDefault="00057261" w:rsidP="00057261">
            <w:pPr>
              <w:pStyle w:val="Akapitzlist"/>
              <w:ind w:left="0"/>
              <w:jc w:val="center"/>
            </w:pPr>
            <w:r w:rsidRPr="00C50FE6">
              <w:t>K1P_K13</w:t>
            </w:r>
          </w:p>
          <w:p w:rsidR="00057261" w:rsidRPr="00C50FE6" w:rsidRDefault="00057261" w:rsidP="00057261">
            <w:pPr>
              <w:pStyle w:val="Akapitzlist"/>
              <w:ind w:left="0"/>
              <w:jc w:val="center"/>
            </w:pPr>
            <w:r w:rsidRPr="00C50FE6">
              <w:t>K1P_K06</w:t>
            </w:r>
          </w:p>
        </w:tc>
      </w:tr>
      <w:tr w:rsidR="00057261" w:rsidRPr="00C50FE6" w:rsidTr="00EE166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C50FE6" w:rsidRDefault="00057261" w:rsidP="00057261">
            <w:pPr>
              <w:jc w:val="center"/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C50FE6" w:rsidRDefault="00057261" w:rsidP="00057261">
            <w:pPr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accept different views in solving problems related to Internet Law.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261" w:rsidRPr="00C50FE6" w:rsidRDefault="00057261" w:rsidP="00057261">
            <w:pPr>
              <w:pStyle w:val="Akapitzlist"/>
              <w:ind w:left="0"/>
              <w:jc w:val="center"/>
            </w:pPr>
            <w:r w:rsidRPr="00C50FE6">
              <w:t>K1P_K02</w:t>
            </w:r>
          </w:p>
        </w:tc>
      </w:tr>
    </w:tbl>
    <w:p w:rsidR="00E65D59" w:rsidRPr="00C50FE6" w:rsidRDefault="00E65D59">
      <w:pPr>
        <w:rPr>
          <w:rFonts w:ascii="Cambria" w:hAnsi="Cambria"/>
          <w:lang w:val="en-US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E65D59" w:rsidRPr="00C50FE6" w:rsidTr="007E36D1">
        <w:tc>
          <w:tcPr>
            <w:tcW w:w="10008" w:type="dxa"/>
            <w:vAlign w:val="center"/>
          </w:tcPr>
          <w:p w:rsidR="00E65D59" w:rsidRPr="00C50FE6" w:rsidRDefault="00685365" w:rsidP="00333D28">
            <w:pPr>
              <w:jc w:val="center"/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CURRICULUM </w:t>
            </w:r>
            <w:r w:rsidR="00333D28" w:rsidRPr="00C50FE6">
              <w:rPr>
                <w:rFonts w:ascii="Cambria" w:hAnsi="Cambria"/>
              </w:rPr>
              <w:t>CONTENTS</w:t>
            </w:r>
          </w:p>
        </w:tc>
      </w:tr>
      <w:tr w:rsidR="00E65D59" w:rsidRPr="00C50FE6" w:rsidTr="007E36D1">
        <w:tc>
          <w:tcPr>
            <w:tcW w:w="10008" w:type="dxa"/>
            <w:shd w:val="pct15" w:color="auto" w:fill="FFFFFF"/>
          </w:tcPr>
          <w:p w:rsidR="00E65D59" w:rsidRPr="00C50FE6" w:rsidRDefault="007F036D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Lecture</w:t>
            </w:r>
            <w:proofErr w:type="spellEnd"/>
          </w:p>
        </w:tc>
      </w:tr>
      <w:tr w:rsidR="00E65D59" w:rsidRPr="00C50FE6" w:rsidTr="007E36D1">
        <w:tc>
          <w:tcPr>
            <w:tcW w:w="10008" w:type="dxa"/>
          </w:tcPr>
          <w:p w:rsidR="00EA22EE" w:rsidRPr="00C50FE6" w:rsidRDefault="00353833" w:rsidP="00C50FE6">
            <w:pPr>
              <w:rPr>
                <w:rFonts w:ascii="Book Antiqua" w:eastAsia="SimSun" w:hAnsi="Book Antiqua"/>
                <w:lang w:val="en-US" w:eastAsia="zh-CN"/>
              </w:rPr>
            </w:pPr>
            <w:r w:rsidRPr="00C50FE6">
              <w:rPr>
                <w:rFonts w:ascii="Book Antiqua" w:eastAsia="SimSun" w:hAnsi="Book Antiqua"/>
                <w:lang w:val="en-US" w:eastAsia="zh-CN"/>
              </w:rPr>
              <w:t>Economy and electronic commerce.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E-business in the international regulations.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The conditions and nature of contracts in the Internet.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The basic assumptions of the UNCITRAL Model Law on Electronic Commerce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Classification of contracts on the Internet.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Privacy and data protection.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Electronic money.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A digital signature, key concepts, certification, safety.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Electronic signature in international regulations.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Provision of electronic services.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Computer crimes.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The protection of computer programs.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Consumer protection in electronic commerce.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Protection of industrial property and intellectual property on the Internet.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Domestic Jurisdiction and applicable law on the Internet.</w:t>
            </w:r>
            <w:r w:rsidR="00C50FE6" w:rsidRPr="00C50FE6">
              <w:rPr>
                <w:rFonts w:ascii="Book Antiqua" w:eastAsia="SimSun" w:hAnsi="Book Antiqua"/>
                <w:lang w:val="en-US" w:eastAsia="zh-CN"/>
              </w:rPr>
              <w:t xml:space="preserve"> </w:t>
            </w:r>
            <w:r w:rsidRPr="00C50FE6">
              <w:rPr>
                <w:rFonts w:ascii="Book Antiqua" w:eastAsia="SimSun" w:hAnsi="Book Antiqua"/>
                <w:lang w:val="en-US" w:eastAsia="zh-CN"/>
              </w:rPr>
              <w:t>Taxation of Electronic Commerce.</w:t>
            </w: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pStyle w:val="Nagwek1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Tutorial</w:t>
            </w:r>
            <w:proofErr w:type="spellEnd"/>
          </w:p>
        </w:tc>
      </w:tr>
      <w:tr w:rsidR="00A77E49" w:rsidRPr="00721098" w:rsidTr="007E36D1">
        <w:tc>
          <w:tcPr>
            <w:tcW w:w="10008" w:type="dxa"/>
          </w:tcPr>
          <w:p w:rsidR="00EA22EE" w:rsidRPr="001E13B6" w:rsidRDefault="00EA22EE" w:rsidP="001135D8">
            <w:pPr>
              <w:keepLines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E65D59" w:rsidRPr="001E13B6" w:rsidRDefault="00746867">
      <w:pPr>
        <w:rPr>
          <w:rFonts w:ascii="Cambria" w:hAnsi="Cambria"/>
          <w:sz w:val="24"/>
          <w:szCs w:val="24"/>
        </w:rPr>
      </w:pPr>
      <w:r w:rsidRPr="001E13B6">
        <w:rPr>
          <w:rFonts w:ascii="Cambria" w:hAnsi="Cambria"/>
          <w:sz w:val="24"/>
          <w:szCs w:val="24"/>
        </w:rPr>
        <w:tab/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E65D59" w:rsidRPr="00C50FE6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E65D59" w:rsidRPr="00C50FE6" w:rsidRDefault="006476AC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Basic </w:t>
            </w:r>
            <w:proofErr w:type="spellStart"/>
            <w:r w:rsidRPr="00C50FE6">
              <w:rPr>
                <w:rFonts w:ascii="Cambria" w:hAnsi="Cambria"/>
              </w:rPr>
              <w:t>literature</w:t>
            </w:r>
            <w:proofErr w:type="spellEnd"/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353833" w:rsidRPr="00C50FE6" w:rsidRDefault="00353833" w:rsidP="00353833">
            <w:pPr>
              <w:numPr>
                <w:ilvl w:val="0"/>
                <w:numId w:val="24"/>
              </w:num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 xml:space="preserve">Pod red. P. </w:t>
            </w:r>
            <w:proofErr w:type="spellStart"/>
            <w:r w:rsidRPr="00C50FE6">
              <w:rPr>
                <w:rFonts w:ascii="Book Antiqua" w:hAnsi="Book Antiqua"/>
              </w:rPr>
              <w:t>Podrecki</w:t>
            </w:r>
            <w:proofErr w:type="spellEnd"/>
            <w:r w:rsidRPr="00C50FE6">
              <w:rPr>
                <w:rFonts w:ascii="Book Antiqua" w:hAnsi="Book Antiqua"/>
              </w:rPr>
              <w:t>, Prawo Internetu, Warszawa 2007;</w:t>
            </w:r>
          </w:p>
          <w:p w:rsidR="00353833" w:rsidRPr="00C50FE6" w:rsidRDefault="00353833" w:rsidP="00353833">
            <w:pPr>
              <w:numPr>
                <w:ilvl w:val="0"/>
                <w:numId w:val="24"/>
              </w:num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 xml:space="preserve">J. </w:t>
            </w:r>
            <w:proofErr w:type="spellStart"/>
            <w:r w:rsidRPr="00C50FE6">
              <w:rPr>
                <w:rFonts w:ascii="Book Antiqua" w:hAnsi="Book Antiqua"/>
              </w:rPr>
              <w:t>Gołaczyński</w:t>
            </w:r>
            <w:proofErr w:type="spellEnd"/>
            <w:r w:rsidRPr="00C50FE6">
              <w:rPr>
                <w:rFonts w:ascii="Book Antiqua" w:hAnsi="Book Antiqua"/>
              </w:rPr>
              <w:t>, prawo umów elektronicznych, Kraków 2006;</w:t>
            </w:r>
          </w:p>
          <w:p w:rsidR="00353833" w:rsidRPr="00C50FE6" w:rsidRDefault="00353833" w:rsidP="00353833">
            <w:pPr>
              <w:numPr>
                <w:ilvl w:val="0"/>
                <w:numId w:val="24"/>
              </w:num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lastRenderedPageBreak/>
              <w:t xml:space="preserve">R. </w:t>
            </w:r>
            <w:proofErr w:type="spellStart"/>
            <w:r w:rsidRPr="00C50FE6">
              <w:rPr>
                <w:rFonts w:ascii="Book Antiqua" w:hAnsi="Book Antiqua"/>
              </w:rPr>
              <w:t>Golat</w:t>
            </w:r>
            <w:proofErr w:type="spellEnd"/>
            <w:r w:rsidRPr="00C50FE6">
              <w:rPr>
                <w:rFonts w:ascii="Book Antiqua" w:hAnsi="Book Antiqua"/>
              </w:rPr>
              <w:t xml:space="preserve">, </w:t>
            </w:r>
            <w:proofErr w:type="spellStart"/>
            <w:r w:rsidRPr="00C50FE6">
              <w:rPr>
                <w:rFonts w:ascii="Book Antiqua" w:hAnsi="Book Antiqua"/>
              </w:rPr>
              <w:t>Intemet-aspekty</w:t>
            </w:r>
            <w:proofErr w:type="spellEnd"/>
            <w:r w:rsidRPr="00C50FE6">
              <w:rPr>
                <w:rFonts w:ascii="Book Antiqua" w:hAnsi="Book Antiqua"/>
              </w:rPr>
              <w:t xml:space="preserve"> prawne, Bydgoszcz 2003;</w:t>
            </w:r>
          </w:p>
          <w:p w:rsidR="00E65D59" w:rsidRPr="00C50FE6" w:rsidRDefault="00353833" w:rsidP="00353833">
            <w:pPr>
              <w:ind w:left="714"/>
              <w:rPr>
                <w:rFonts w:ascii="Cambria" w:hAnsi="Cambri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 xml:space="preserve">Peter B. 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Maggs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 xml:space="preserve"> (Author), John T. Soma (Author), James A. 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Sprowl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 xml:space="preserve"> (Author), Internet and Computer Law, Cases, Comments, Questions, 3d (American Casebooks) [Hardcover], West; 3 edition (May 12, 2010)</w:t>
            </w:r>
          </w:p>
        </w:tc>
      </w:tr>
      <w:tr w:rsidR="00E65D59" w:rsidRPr="00C50FE6" w:rsidTr="00EA22EE">
        <w:trPr>
          <w:trHeight w:val="813"/>
        </w:trPr>
        <w:tc>
          <w:tcPr>
            <w:tcW w:w="2448" w:type="dxa"/>
          </w:tcPr>
          <w:p w:rsidR="00E65D59" w:rsidRPr="00C50FE6" w:rsidRDefault="00376BB3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lastRenderedPageBreak/>
              <w:t>Additional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literature</w:t>
            </w:r>
            <w:proofErr w:type="spellEnd"/>
          </w:p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7560" w:type="dxa"/>
          </w:tcPr>
          <w:p w:rsidR="00353833" w:rsidRPr="00C50FE6" w:rsidRDefault="00353833" w:rsidP="00353833">
            <w:pPr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Agnieszka Grzywacz, Aneta Frań, Krzysztof Korus, Marcin Spyra, Mariusz Chudzik, Prawo handlu elektronicznego, Bydgoszcz 2005;</w:t>
            </w:r>
          </w:p>
          <w:p w:rsidR="00353833" w:rsidRPr="00C50FE6" w:rsidRDefault="00353833" w:rsidP="00353833">
            <w:pPr>
              <w:numPr>
                <w:ilvl w:val="0"/>
                <w:numId w:val="25"/>
              </w:numPr>
              <w:jc w:val="both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J. R. Antoniuk, Ochrona znaków towarowych w Internecie, Warszawa 2006;</w:t>
            </w:r>
          </w:p>
          <w:p w:rsidR="00353833" w:rsidRPr="00C50FE6" w:rsidRDefault="00353833" w:rsidP="00353833">
            <w:pPr>
              <w:numPr>
                <w:ilvl w:val="0"/>
                <w:numId w:val="25"/>
              </w:numPr>
              <w:jc w:val="both"/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 xml:space="preserve">Mark A. 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Lemley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 xml:space="preserve"> (Author), Peter S. 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Menell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 xml:space="preserve"> (Author), Robert P. Merges (Author), Pamela Samuelson (Author), Brian W. Carver (Author), Software &amp; Internet Law, 4th Edition (Aspen Casebook Series) [Hardcover], Aspen Publishers; 4 edition (April 1, 2011);</w:t>
            </w:r>
          </w:p>
          <w:p w:rsidR="00353833" w:rsidRPr="00C50FE6" w:rsidRDefault="00353833" w:rsidP="00353833">
            <w:pPr>
              <w:numPr>
                <w:ilvl w:val="0"/>
                <w:numId w:val="25"/>
              </w:numPr>
              <w:jc w:val="both"/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>Keith B Darrell (Author), Issues in Internet Law: Society, Technology, and the Law, 6th Edition (Issues in Internet Law: Society, Technology, &amp; the Law) [Hardcover], Amber Book Company (January 17, 2011);</w:t>
            </w:r>
          </w:p>
          <w:p w:rsidR="00353833" w:rsidRPr="00C50FE6" w:rsidRDefault="00353833" w:rsidP="00353833">
            <w:pPr>
              <w:numPr>
                <w:ilvl w:val="0"/>
                <w:numId w:val="25"/>
              </w:numPr>
              <w:jc w:val="both"/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 xml:space="preserve">Lilian Edwards (Editor), Charlotte 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Waelde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 xml:space="preserve"> (Editor), Law and the Internet: Third Edition [Paperback], Hart Publishing; 3 edition (September 7, 2009);</w:t>
            </w:r>
          </w:p>
          <w:p w:rsidR="00353833" w:rsidRPr="00C50FE6" w:rsidRDefault="00353833" w:rsidP="00353833">
            <w:pPr>
              <w:numPr>
                <w:ilvl w:val="0"/>
                <w:numId w:val="25"/>
              </w:numPr>
              <w:jc w:val="both"/>
              <w:rPr>
                <w:rFonts w:ascii="Book Antiqua" w:hAnsi="Book Antiqu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 xml:space="preserve">Joanna 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Kulesza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 xml:space="preserve"> (Author), International Internet Law (Routledge Research in Information Technology and E-Commerce Law) [Hardcover], Routledge; 1 edition (March 8, 2012);</w:t>
            </w:r>
          </w:p>
          <w:p w:rsidR="00E65D59" w:rsidRPr="00C50FE6" w:rsidRDefault="00353833" w:rsidP="00353833">
            <w:pPr>
              <w:ind w:left="714"/>
              <w:rPr>
                <w:rFonts w:ascii="Cambria" w:hAnsi="Cambria"/>
                <w:lang w:val="en-US"/>
              </w:rPr>
            </w:pPr>
            <w:r w:rsidRPr="00C50FE6">
              <w:rPr>
                <w:rFonts w:ascii="Book Antiqua" w:hAnsi="Book Antiqua"/>
                <w:lang w:val="en-US"/>
              </w:rPr>
              <w:t xml:space="preserve">Brian Craig (Author), </w:t>
            </w:r>
            <w:proofErr w:type="spellStart"/>
            <w:r w:rsidRPr="00C50FE6">
              <w:rPr>
                <w:rFonts w:ascii="Book Antiqua" w:hAnsi="Book Antiqua"/>
                <w:lang w:val="en-US"/>
              </w:rPr>
              <w:t>Cyberlaw</w:t>
            </w:r>
            <w:proofErr w:type="spellEnd"/>
            <w:r w:rsidRPr="00C50FE6">
              <w:rPr>
                <w:rFonts w:ascii="Book Antiqua" w:hAnsi="Book Antiqua"/>
                <w:lang w:val="en-US"/>
              </w:rPr>
              <w:t>: The Law of the Internet and Information Technology [Paperback], Paperback: 288 pages, Publisher: Prentice Hall; 1 edition (January 14, 2012)</w:t>
            </w:r>
          </w:p>
        </w:tc>
      </w:tr>
    </w:tbl>
    <w:p w:rsidR="00E65D59" w:rsidRPr="00C50FE6" w:rsidRDefault="00E65D59">
      <w:pPr>
        <w:rPr>
          <w:lang w:val="en-US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E65D59" w:rsidRPr="00C50FE6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C50FE6" w:rsidRDefault="00E65D59">
            <w:pPr>
              <w:rPr>
                <w:lang w:val="en-US"/>
              </w:rPr>
            </w:pPr>
          </w:p>
          <w:p w:rsidR="00E65D59" w:rsidRPr="00C50FE6" w:rsidRDefault="00376BB3">
            <w:proofErr w:type="spellStart"/>
            <w:r w:rsidRPr="00C50FE6">
              <w:t>Teaching</w:t>
            </w:r>
            <w:proofErr w:type="spellEnd"/>
            <w:r w:rsidRPr="00C50FE6">
              <w:t xml:space="preserve"> </w:t>
            </w:r>
            <w:proofErr w:type="spellStart"/>
            <w:r w:rsidRPr="00C50FE6">
              <w:t>methods</w:t>
            </w:r>
            <w:proofErr w:type="spellEnd"/>
          </w:p>
          <w:p w:rsidR="00E65D59" w:rsidRPr="00C50FE6" w:rsidRDefault="00E65D59"/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13B6" w:rsidRPr="00C50FE6" w:rsidRDefault="001E13B6" w:rsidP="001E13B6">
            <w:pPr>
              <w:jc w:val="both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Wykład, wykład konwersatoryjny, wykład problemowy, wykład z prezentacją multimedialną</w:t>
            </w:r>
          </w:p>
          <w:p w:rsidR="001E13B6" w:rsidRPr="00C50FE6" w:rsidRDefault="001E13B6" w:rsidP="001E13B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 xml:space="preserve">Zajęcia </w:t>
            </w:r>
            <w:proofErr w:type="spellStart"/>
            <w:r w:rsidRPr="00C50FE6">
              <w:rPr>
                <w:rFonts w:ascii="Book Antiqua" w:hAnsi="Book Antiqua"/>
              </w:rPr>
              <w:t>on-line</w:t>
            </w:r>
            <w:proofErr w:type="spellEnd"/>
            <w:r w:rsidRPr="00C50FE6">
              <w:rPr>
                <w:rFonts w:ascii="Book Antiqua" w:hAnsi="Book Antiqua"/>
              </w:rPr>
              <w:t xml:space="preserve"> / </w:t>
            </w:r>
            <w:proofErr w:type="spellStart"/>
            <w:r w:rsidRPr="00C50FE6">
              <w:rPr>
                <w:rFonts w:ascii="Book Antiqua" w:hAnsi="Book Antiqua"/>
              </w:rPr>
              <w:t>blended</w:t>
            </w:r>
            <w:proofErr w:type="spellEnd"/>
            <w:r w:rsidRPr="00C50FE6">
              <w:rPr>
                <w:rFonts w:ascii="Book Antiqua" w:hAnsi="Book Antiqua"/>
              </w:rPr>
              <w:t xml:space="preserve"> learning, zajęcia w sali dydaktycznej</w:t>
            </w:r>
          </w:p>
          <w:p w:rsidR="00E65D59" w:rsidRPr="00C50FE6" w:rsidRDefault="00E65D59"/>
        </w:tc>
      </w:tr>
      <w:tr w:rsidR="00E65D59" w:rsidRPr="00C50FE6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C50FE6" w:rsidRDefault="00376BB3" w:rsidP="00376BB3">
            <w:pPr>
              <w:jc w:val="center"/>
              <w:rPr>
                <w:color w:val="000000"/>
              </w:rPr>
            </w:pPr>
            <w:proofErr w:type="spellStart"/>
            <w:r w:rsidRPr="00C50FE6">
              <w:rPr>
                <w:color w:val="000000"/>
              </w:rPr>
              <w:t>Assessment</w:t>
            </w:r>
            <w:proofErr w:type="spellEnd"/>
            <w:r w:rsidRPr="00C50FE6">
              <w:rPr>
                <w:color w:val="000000"/>
              </w:rPr>
              <w:t xml:space="preserve"> </w:t>
            </w:r>
            <w:proofErr w:type="spellStart"/>
            <w:r w:rsidRPr="00C50FE6">
              <w:rPr>
                <w:color w:val="000000"/>
              </w:rPr>
              <w:t>method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C50FE6" w:rsidRDefault="00376BB3">
            <w:pPr>
              <w:jc w:val="center"/>
            </w:pPr>
            <w:r w:rsidRPr="00C50FE6">
              <w:t xml:space="preserve">Learning </w:t>
            </w:r>
            <w:proofErr w:type="spellStart"/>
            <w:r w:rsidRPr="00C50FE6">
              <w:t>outcome</w:t>
            </w:r>
            <w:proofErr w:type="spellEnd"/>
            <w:r w:rsidRPr="00C50FE6">
              <w:t xml:space="preserve"> </w:t>
            </w:r>
            <w:proofErr w:type="spellStart"/>
            <w:r w:rsidRPr="00C50FE6">
              <w:t>number</w:t>
            </w:r>
            <w:proofErr w:type="spellEnd"/>
            <w:r w:rsidR="00E65D59" w:rsidRPr="00C50FE6">
              <w:br/>
            </w:r>
          </w:p>
        </w:tc>
      </w:tr>
      <w:tr w:rsidR="001E13B6" w:rsidRPr="00C50FE6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1E13B6" w:rsidRPr="00C50FE6" w:rsidRDefault="001E13B6" w:rsidP="001E13B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Prezentacja multimedialna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1E13B6" w:rsidRPr="00C50FE6" w:rsidRDefault="001E13B6" w:rsidP="001E13B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01,02,03</w:t>
            </w:r>
          </w:p>
        </w:tc>
      </w:tr>
      <w:tr w:rsidR="001E13B6" w:rsidRPr="00C50FE6">
        <w:tc>
          <w:tcPr>
            <w:tcW w:w="8208" w:type="dxa"/>
            <w:gridSpan w:val="3"/>
          </w:tcPr>
          <w:p w:rsidR="001E13B6" w:rsidRPr="00C50FE6" w:rsidRDefault="001E13B6" w:rsidP="001E13B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Rozwiązywanie kazusów (studium przypadków)</w:t>
            </w:r>
          </w:p>
        </w:tc>
        <w:tc>
          <w:tcPr>
            <w:tcW w:w="1800" w:type="dxa"/>
          </w:tcPr>
          <w:p w:rsidR="001E13B6" w:rsidRPr="00C50FE6" w:rsidRDefault="001E13B6" w:rsidP="001E13B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01,02,03</w:t>
            </w:r>
          </w:p>
        </w:tc>
      </w:tr>
      <w:tr w:rsidR="001E13B6" w:rsidRPr="00C50FE6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1E13B6" w:rsidRPr="00C50FE6" w:rsidRDefault="001E13B6" w:rsidP="001E13B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Zaliczenie i egzamin z przedmiotu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1E13B6" w:rsidRPr="00C50FE6" w:rsidRDefault="001E13B6" w:rsidP="001E13B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01,02,03</w:t>
            </w:r>
          </w:p>
        </w:tc>
      </w:tr>
      <w:tr w:rsidR="00E65D59" w:rsidRPr="00C50FE6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65D59" w:rsidRPr="00C50FE6" w:rsidRDefault="00376BB3" w:rsidP="002048DB">
            <w:pPr>
              <w:rPr>
                <w:lang w:val="en-US"/>
              </w:rPr>
            </w:pPr>
            <w:r w:rsidRPr="00C50FE6">
              <w:rPr>
                <w:lang w:val="en-US"/>
              </w:rPr>
              <w:t xml:space="preserve">Form and terms of </w:t>
            </w:r>
            <w:r w:rsidR="002048DB" w:rsidRPr="00C50FE6">
              <w:rPr>
                <w:lang w:val="en-US"/>
              </w:rPr>
              <w:t>an exam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65D59" w:rsidRPr="00C50FE6" w:rsidRDefault="001E13B6" w:rsidP="00C50FE6">
            <w:pPr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Egzamin pisemny: dłuższa wypowiedź pisemna (rozwiązanie problemu); egzamin ustny; test wielokrotnego wybory; rozwiązywanie kazusu (rozwiązanie problemu).</w:t>
            </w:r>
          </w:p>
        </w:tc>
      </w:tr>
    </w:tbl>
    <w:p w:rsidR="00E65D59" w:rsidRPr="00C50FE6" w:rsidRDefault="00E65D59">
      <w:pPr>
        <w:rPr>
          <w:rFonts w:ascii="Cambria" w:hAnsi="Cambria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723"/>
        <w:gridCol w:w="5285"/>
      </w:tblGrid>
      <w:tr w:rsidR="00E65D59" w:rsidRPr="00C50FE6" w:rsidTr="00353833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65D59" w:rsidRPr="00C50FE6" w:rsidRDefault="006A14A7">
            <w:pPr>
              <w:jc w:val="center"/>
              <w:rPr>
                <w:rFonts w:ascii="Cambria" w:hAnsi="Cambria"/>
                <w:b/>
              </w:rPr>
            </w:pPr>
            <w:r w:rsidRPr="00C50FE6">
              <w:rPr>
                <w:rFonts w:ascii="Cambria" w:hAnsi="Cambria"/>
                <w:b/>
              </w:rPr>
              <w:t>STUDENT WORKLOAD</w:t>
            </w:r>
          </w:p>
          <w:p w:rsidR="00E65D59" w:rsidRPr="00C50FE6" w:rsidRDefault="00E65D59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65D59" w:rsidRPr="00C50FE6" w:rsidTr="00353833">
        <w:trPr>
          <w:trHeight w:val="263"/>
        </w:trPr>
        <w:tc>
          <w:tcPr>
            <w:tcW w:w="4723" w:type="dxa"/>
            <w:tcBorders>
              <w:top w:val="single" w:sz="4" w:space="0" w:color="auto"/>
            </w:tcBorders>
          </w:tcPr>
          <w:p w:rsidR="00E65D59" w:rsidRPr="00C50FE6" w:rsidRDefault="00E65D59">
            <w:pPr>
              <w:rPr>
                <w:rFonts w:ascii="Cambria" w:hAnsi="Cambria"/>
              </w:rPr>
            </w:pPr>
          </w:p>
        </w:tc>
        <w:tc>
          <w:tcPr>
            <w:tcW w:w="5285" w:type="dxa"/>
            <w:tcBorders>
              <w:top w:val="single" w:sz="4" w:space="0" w:color="auto"/>
            </w:tcBorders>
          </w:tcPr>
          <w:p w:rsidR="00E65D59" w:rsidRPr="00C50FE6" w:rsidRDefault="006A14A7">
            <w:pPr>
              <w:jc w:val="center"/>
              <w:rPr>
                <w:rFonts w:ascii="Cambria" w:hAnsi="Cambria"/>
                <w:color w:val="FF0000"/>
              </w:rPr>
            </w:pPr>
            <w:proofErr w:type="spellStart"/>
            <w:r w:rsidRPr="00C50FE6">
              <w:rPr>
                <w:rFonts w:ascii="Cambria" w:hAnsi="Cambria"/>
              </w:rPr>
              <w:t>Number</w:t>
            </w:r>
            <w:proofErr w:type="spellEnd"/>
            <w:r w:rsidRPr="00C50FE6">
              <w:rPr>
                <w:rFonts w:ascii="Cambria" w:hAnsi="Cambria"/>
              </w:rPr>
              <w:t xml:space="preserve"> of </w:t>
            </w:r>
            <w:proofErr w:type="spellStart"/>
            <w:r w:rsidRPr="00C50FE6">
              <w:rPr>
                <w:rFonts w:ascii="Cambria" w:hAnsi="Cambria"/>
              </w:rPr>
              <w:t>hours</w:t>
            </w:r>
            <w:proofErr w:type="spellEnd"/>
            <w:r w:rsidR="00E65D59" w:rsidRPr="00C50FE6">
              <w:rPr>
                <w:rFonts w:ascii="Cambria" w:hAnsi="Cambria"/>
              </w:rPr>
              <w:t xml:space="preserve">  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Participation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in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lectures</w:t>
            </w:r>
            <w:proofErr w:type="spellEnd"/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30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Independent study of lecture topics</w:t>
            </w:r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40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  <w:vertAlign w:val="superscript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Participation in tutorials, labs, projects and seminars</w:t>
            </w:r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0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</w:rPr>
              <w:t xml:space="preserve">Independent </w:t>
            </w:r>
            <w:proofErr w:type="spellStart"/>
            <w:r w:rsidRPr="00C50FE6">
              <w:rPr>
                <w:rFonts w:ascii="Cambria" w:hAnsi="Cambria"/>
              </w:rPr>
              <w:t>preparation</w:t>
            </w:r>
            <w:proofErr w:type="spellEnd"/>
            <w:r w:rsidRPr="00C50FE6">
              <w:rPr>
                <w:rFonts w:ascii="Cambria" w:hAnsi="Cambria"/>
              </w:rPr>
              <w:t xml:space="preserve"> for </w:t>
            </w:r>
            <w:proofErr w:type="spellStart"/>
            <w:r w:rsidRPr="00C50FE6">
              <w:rPr>
                <w:rFonts w:ascii="Cambria" w:hAnsi="Cambria"/>
              </w:rPr>
              <w:t>tutorials</w:t>
            </w:r>
            <w:proofErr w:type="spellEnd"/>
            <w:r w:rsidRPr="00C50FE6">
              <w:rPr>
                <w:rFonts w:ascii="Cambria" w:hAnsi="Cambria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0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</w:rPr>
            </w:pPr>
            <w:r w:rsidRPr="00C50FE6">
              <w:rPr>
                <w:rFonts w:ascii="Cambria" w:hAnsi="Cambria"/>
                <w:lang w:val="en-US"/>
              </w:rPr>
              <w:t>Preparation of projects/essays/etc.</w:t>
            </w:r>
            <w:r w:rsidRPr="00C50FE6">
              <w:rPr>
                <w:rFonts w:ascii="Cambria" w:hAnsi="Cambria"/>
                <w:vertAlign w:val="superscript"/>
                <w:lang w:val="en-US"/>
              </w:rPr>
              <w:t xml:space="preserve"> </w:t>
            </w:r>
            <w:r w:rsidRPr="00C50FE6">
              <w:rPr>
                <w:rFonts w:ascii="Cambria" w:hAnsi="Cambria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15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Preparation/ independent study for exams</w:t>
            </w:r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20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Participation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during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consultation</w:t>
            </w:r>
            <w:proofErr w:type="spellEnd"/>
            <w:r w:rsidRPr="00C50FE6">
              <w:rPr>
                <w:rFonts w:ascii="Cambria" w:hAnsi="Cambria"/>
              </w:rPr>
              <w:t xml:space="preserve"> </w:t>
            </w:r>
            <w:proofErr w:type="spellStart"/>
            <w:r w:rsidRPr="00C50FE6">
              <w:rPr>
                <w:rFonts w:ascii="Cambria" w:hAnsi="Cambria"/>
              </w:rPr>
              <w:t>hours</w:t>
            </w:r>
            <w:proofErr w:type="spellEnd"/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0,1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</w:rPr>
            </w:pPr>
            <w:proofErr w:type="spellStart"/>
            <w:r w:rsidRPr="00C50FE6">
              <w:rPr>
                <w:rFonts w:ascii="Cambria" w:hAnsi="Cambria"/>
              </w:rPr>
              <w:t>Other</w:t>
            </w:r>
            <w:proofErr w:type="spellEnd"/>
          </w:p>
        </w:tc>
        <w:tc>
          <w:tcPr>
            <w:tcW w:w="5285" w:type="dxa"/>
          </w:tcPr>
          <w:p w:rsidR="00353833" w:rsidRPr="00C50FE6" w:rsidRDefault="00353833" w:rsidP="00353833">
            <w:pPr>
              <w:jc w:val="center"/>
              <w:rPr>
                <w:rFonts w:ascii="Book Antiqua" w:hAnsi="Book Antiqua"/>
              </w:rPr>
            </w:pPr>
            <w:r w:rsidRPr="00C50FE6">
              <w:rPr>
                <w:rFonts w:ascii="Book Antiqua" w:hAnsi="Book Antiqua"/>
              </w:rPr>
              <w:t>0</w:t>
            </w:r>
          </w:p>
        </w:tc>
      </w:tr>
      <w:tr w:rsidR="00353833" w:rsidRPr="00C50FE6" w:rsidTr="00353833">
        <w:trPr>
          <w:trHeight w:val="262"/>
        </w:trPr>
        <w:tc>
          <w:tcPr>
            <w:tcW w:w="4723" w:type="dxa"/>
          </w:tcPr>
          <w:p w:rsidR="00353833" w:rsidRPr="00C50FE6" w:rsidRDefault="00353833" w:rsidP="00353833">
            <w:pPr>
              <w:rPr>
                <w:rFonts w:ascii="Cambria" w:hAnsi="Cambria"/>
                <w:lang w:val="en-US"/>
              </w:rPr>
            </w:pPr>
            <w:r w:rsidRPr="00C50FE6">
              <w:rPr>
                <w:rFonts w:ascii="Cambria" w:hAnsi="Cambria"/>
                <w:b/>
                <w:lang w:val="en-US"/>
              </w:rPr>
              <w:t>TOTAL student workload in hours</w:t>
            </w:r>
          </w:p>
        </w:tc>
        <w:tc>
          <w:tcPr>
            <w:tcW w:w="5285" w:type="dxa"/>
          </w:tcPr>
          <w:p w:rsidR="00353833" w:rsidRPr="00C50FE6" w:rsidRDefault="00C50FE6" w:rsidP="00C50FE6">
            <w:pPr>
              <w:tabs>
                <w:tab w:val="left" w:pos="2370"/>
                <w:tab w:val="center" w:pos="2572"/>
              </w:tabs>
              <w:rPr>
                <w:rFonts w:ascii="Book Antiqua" w:hAnsi="Book Antiqua"/>
                <w:b/>
              </w:rPr>
            </w:pPr>
            <w:r w:rsidRPr="00C50FE6">
              <w:rPr>
                <w:rFonts w:ascii="Book Antiqua" w:hAnsi="Book Antiqua"/>
                <w:b/>
              </w:rPr>
              <w:tab/>
            </w:r>
            <w:r w:rsidRPr="00C50FE6">
              <w:rPr>
                <w:rFonts w:ascii="Book Antiqua" w:hAnsi="Book Antiqua"/>
                <w:b/>
              </w:rPr>
              <w:tab/>
            </w:r>
            <w:r w:rsidR="00353833" w:rsidRPr="00C50FE6">
              <w:rPr>
                <w:rFonts w:ascii="Book Antiqua" w:hAnsi="Book Antiqua"/>
                <w:b/>
              </w:rPr>
              <w:t>105</w:t>
            </w:r>
          </w:p>
        </w:tc>
      </w:tr>
      <w:tr w:rsidR="00353833" w:rsidRPr="00C50FE6" w:rsidTr="00C50FE6">
        <w:trPr>
          <w:trHeight w:val="417"/>
        </w:trPr>
        <w:tc>
          <w:tcPr>
            <w:tcW w:w="4723" w:type="dxa"/>
            <w:shd w:val="clear" w:color="auto" w:fill="C0C0C0"/>
          </w:tcPr>
          <w:p w:rsidR="00353833" w:rsidRPr="00C50FE6" w:rsidRDefault="00353833" w:rsidP="00353833">
            <w:pPr>
              <w:rPr>
                <w:rFonts w:ascii="Cambria" w:hAnsi="Cambria"/>
                <w:b/>
                <w:lang w:val="en-US"/>
              </w:rPr>
            </w:pPr>
            <w:r w:rsidRPr="00C50FE6">
              <w:rPr>
                <w:rFonts w:ascii="Cambria" w:hAnsi="Cambria"/>
                <w:b/>
                <w:lang w:val="en-US"/>
              </w:rPr>
              <w:t>Number of ECTS credit per course unit</w:t>
            </w:r>
          </w:p>
        </w:tc>
        <w:tc>
          <w:tcPr>
            <w:tcW w:w="5285" w:type="dxa"/>
            <w:shd w:val="clear" w:color="auto" w:fill="C0C0C0"/>
            <w:vAlign w:val="center"/>
          </w:tcPr>
          <w:p w:rsidR="00353833" w:rsidRPr="00C50FE6" w:rsidRDefault="00353833" w:rsidP="00C50FE6">
            <w:pPr>
              <w:jc w:val="center"/>
              <w:rPr>
                <w:rFonts w:ascii="Book Antiqua" w:hAnsi="Book Antiqua"/>
                <w:b/>
              </w:rPr>
            </w:pPr>
            <w:r w:rsidRPr="00C50FE6">
              <w:rPr>
                <w:rFonts w:ascii="Book Antiqua" w:hAnsi="Book Antiqua"/>
                <w:b/>
              </w:rPr>
              <w:t>4</w:t>
            </w:r>
          </w:p>
        </w:tc>
      </w:tr>
      <w:tr w:rsidR="00E65D59" w:rsidRPr="00C50FE6" w:rsidTr="00C50FE6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Pr="00C50FE6" w:rsidRDefault="00696C94">
            <w:pPr>
              <w:rPr>
                <w:rFonts w:ascii="Cambria" w:hAnsi="Cambria"/>
                <w:vertAlign w:val="superscript"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Number of ECTS credit associated with practical classes</w:t>
            </w:r>
          </w:p>
          <w:p w:rsidR="00E65D59" w:rsidRPr="00C50FE6" w:rsidRDefault="00E65D59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Pr="00C50FE6" w:rsidRDefault="00C50FE6" w:rsidP="00C50FE6">
            <w:pPr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3,4</w:t>
            </w:r>
          </w:p>
        </w:tc>
      </w:tr>
      <w:tr w:rsidR="00E65D59" w:rsidRPr="00C50FE6" w:rsidTr="00C50FE6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Pr="00C50FE6" w:rsidRDefault="00696C94" w:rsidP="00696C94">
            <w:pPr>
              <w:rPr>
                <w:rFonts w:ascii="Cambria" w:hAnsi="Cambria"/>
                <w:b/>
                <w:lang w:val="en-US"/>
              </w:rPr>
            </w:pPr>
            <w:r w:rsidRPr="00C50FE6">
              <w:rPr>
                <w:rFonts w:ascii="Cambria" w:hAnsi="Cambria"/>
                <w:lang w:val="en-US"/>
              </w:rPr>
              <w:t>Number of ECTS for classes that require direct participation of professors</w:t>
            </w:r>
            <w:r w:rsidR="00E65D59" w:rsidRPr="00C50FE6">
              <w:rPr>
                <w:rFonts w:ascii="Cambria" w:hAnsi="Cambria"/>
                <w:lang w:val="en-US"/>
              </w:rPr>
              <w:t xml:space="preserve">  </w:t>
            </w: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Pr="00C50FE6" w:rsidRDefault="00C50FE6" w:rsidP="00C50FE6">
            <w:pPr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1,2</w:t>
            </w:r>
          </w:p>
        </w:tc>
      </w:tr>
    </w:tbl>
    <w:p w:rsidR="00E65D59" w:rsidRPr="00C50FE6" w:rsidRDefault="00E65D59" w:rsidP="00C92E20">
      <w:pPr>
        <w:rPr>
          <w:rFonts w:ascii="Cambria" w:hAnsi="Cambria"/>
          <w:lang w:val="en-US"/>
        </w:rPr>
      </w:pPr>
    </w:p>
    <w:sectPr w:rsidR="00E65D59" w:rsidRPr="00C50FE6" w:rsidSect="007E36D1">
      <w:footerReference w:type="even" r:id="rId7"/>
      <w:footerReference w:type="default" r:id="rId8"/>
      <w:pgSz w:w="11906" w:h="16838"/>
      <w:pgMar w:top="567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4A" w:rsidRDefault="002A214A">
      <w:r>
        <w:separator/>
      </w:r>
    </w:p>
  </w:endnote>
  <w:endnote w:type="continuationSeparator" w:id="0">
    <w:p w:rsidR="002A214A" w:rsidRDefault="002A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3A56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3A56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0FE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4A" w:rsidRDefault="002A214A">
      <w:r>
        <w:separator/>
      </w:r>
    </w:p>
  </w:footnote>
  <w:footnote w:type="continuationSeparator" w:id="0">
    <w:p w:rsidR="002A214A" w:rsidRDefault="002A2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2502"/>
    <w:multiLevelType w:val="hybridMultilevel"/>
    <w:tmpl w:val="1F1861E0"/>
    <w:lvl w:ilvl="0" w:tplc="08A0514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6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6F81"/>
    <w:multiLevelType w:val="hybridMultilevel"/>
    <w:tmpl w:val="E148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1">
    <w:nsid w:val="27D852BA"/>
    <w:multiLevelType w:val="hybridMultilevel"/>
    <w:tmpl w:val="EDBA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81B6B"/>
    <w:multiLevelType w:val="hybridMultilevel"/>
    <w:tmpl w:val="00E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E51CF"/>
    <w:multiLevelType w:val="hybridMultilevel"/>
    <w:tmpl w:val="8566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6466A"/>
    <w:multiLevelType w:val="hybridMultilevel"/>
    <w:tmpl w:val="27F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A3B2F"/>
    <w:multiLevelType w:val="hybridMultilevel"/>
    <w:tmpl w:val="768C5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B5C16"/>
    <w:multiLevelType w:val="hybridMultilevel"/>
    <w:tmpl w:val="12A6C1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046F18"/>
    <w:multiLevelType w:val="hybridMultilevel"/>
    <w:tmpl w:val="68D07C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21"/>
  </w:num>
  <w:num w:numId="8">
    <w:abstractNumId w:val="0"/>
  </w:num>
  <w:num w:numId="9">
    <w:abstractNumId w:val="20"/>
  </w:num>
  <w:num w:numId="10">
    <w:abstractNumId w:val="23"/>
  </w:num>
  <w:num w:numId="11">
    <w:abstractNumId w:val="16"/>
  </w:num>
  <w:num w:numId="12">
    <w:abstractNumId w:val="6"/>
  </w:num>
  <w:num w:numId="13">
    <w:abstractNumId w:val="13"/>
  </w:num>
  <w:num w:numId="14">
    <w:abstractNumId w:val="2"/>
  </w:num>
  <w:num w:numId="15">
    <w:abstractNumId w:val="22"/>
  </w:num>
  <w:num w:numId="16">
    <w:abstractNumId w:val="7"/>
  </w:num>
  <w:num w:numId="17">
    <w:abstractNumId w:val="25"/>
  </w:num>
  <w:num w:numId="18">
    <w:abstractNumId w:val="24"/>
  </w:num>
  <w:num w:numId="19">
    <w:abstractNumId w:val="14"/>
  </w:num>
  <w:num w:numId="20">
    <w:abstractNumId w:val="8"/>
  </w:num>
  <w:num w:numId="21">
    <w:abstractNumId w:val="17"/>
  </w:num>
  <w:num w:numId="22">
    <w:abstractNumId w:val="3"/>
  </w:num>
  <w:num w:numId="23">
    <w:abstractNumId w:val="19"/>
  </w:num>
  <w:num w:numId="24">
    <w:abstractNumId w:val="18"/>
  </w:num>
  <w:num w:numId="25">
    <w:abstractNumId w:val="1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D1"/>
    <w:rsid w:val="00050482"/>
    <w:rsid w:val="00057261"/>
    <w:rsid w:val="00061BFF"/>
    <w:rsid w:val="000D7BF1"/>
    <w:rsid w:val="000E69E6"/>
    <w:rsid w:val="000F19F3"/>
    <w:rsid w:val="001135D8"/>
    <w:rsid w:val="00122D77"/>
    <w:rsid w:val="001A066D"/>
    <w:rsid w:val="001C3FD1"/>
    <w:rsid w:val="001E13B6"/>
    <w:rsid w:val="00203FE8"/>
    <w:rsid w:val="002048DB"/>
    <w:rsid w:val="002A214A"/>
    <w:rsid w:val="002B621B"/>
    <w:rsid w:val="00316E56"/>
    <w:rsid w:val="00333D28"/>
    <w:rsid w:val="0035180C"/>
    <w:rsid w:val="00353833"/>
    <w:rsid w:val="00376BB3"/>
    <w:rsid w:val="003A56E7"/>
    <w:rsid w:val="00440BFF"/>
    <w:rsid w:val="00447F10"/>
    <w:rsid w:val="00451DC7"/>
    <w:rsid w:val="00452DFC"/>
    <w:rsid w:val="0046270D"/>
    <w:rsid w:val="0046552C"/>
    <w:rsid w:val="00487C3C"/>
    <w:rsid w:val="004A5006"/>
    <w:rsid w:val="004B53B3"/>
    <w:rsid w:val="004C271A"/>
    <w:rsid w:val="004D6AA8"/>
    <w:rsid w:val="004E0AE9"/>
    <w:rsid w:val="004E7A0C"/>
    <w:rsid w:val="00511043"/>
    <w:rsid w:val="00564937"/>
    <w:rsid w:val="00603F8A"/>
    <w:rsid w:val="006441DD"/>
    <w:rsid w:val="006476AC"/>
    <w:rsid w:val="00685365"/>
    <w:rsid w:val="00696C94"/>
    <w:rsid w:val="006A14A7"/>
    <w:rsid w:val="006A7718"/>
    <w:rsid w:val="006D6C70"/>
    <w:rsid w:val="006F2CDD"/>
    <w:rsid w:val="007171F4"/>
    <w:rsid w:val="00717A68"/>
    <w:rsid w:val="00721098"/>
    <w:rsid w:val="0074007C"/>
    <w:rsid w:val="00746867"/>
    <w:rsid w:val="0077603A"/>
    <w:rsid w:val="00781785"/>
    <w:rsid w:val="007C4BA5"/>
    <w:rsid w:val="007E36D1"/>
    <w:rsid w:val="007F036D"/>
    <w:rsid w:val="008043F6"/>
    <w:rsid w:val="008270CA"/>
    <w:rsid w:val="008306FA"/>
    <w:rsid w:val="00851272"/>
    <w:rsid w:val="00861219"/>
    <w:rsid w:val="008652A9"/>
    <w:rsid w:val="00885341"/>
    <w:rsid w:val="008F4F06"/>
    <w:rsid w:val="00910588"/>
    <w:rsid w:val="009807E5"/>
    <w:rsid w:val="009E5E52"/>
    <w:rsid w:val="009F2B40"/>
    <w:rsid w:val="009F68F4"/>
    <w:rsid w:val="00A07CAE"/>
    <w:rsid w:val="00A13702"/>
    <w:rsid w:val="00A51499"/>
    <w:rsid w:val="00A77E49"/>
    <w:rsid w:val="00A80A00"/>
    <w:rsid w:val="00A8776D"/>
    <w:rsid w:val="00B5315A"/>
    <w:rsid w:val="00B71C24"/>
    <w:rsid w:val="00BA280A"/>
    <w:rsid w:val="00BB4928"/>
    <w:rsid w:val="00BD683F"/>
    <w:rsid w:val="00BF00FE"/>
    <w:rsid w:val="00C45394"/>
    <w:rsid w:val="00C50FE6"/>
    <w:rsid w:val="00C92E20"/>
    <w:rsid w:val="00CB1927"/>
    <w:rsid w:val="00CC55E5"/>
    <w:rsid w:val="00D03679"/>
    <w:rsid w:val="00DB31ED"/>
    <w:rsid w:val="00DB732C"/>
    <w:rsid w:val="00E02F8D"/>
    <w:rsid w:val="00E160DB"/>
    <w:rsid w:val="00E36985"/>
    <w:rsid w:val="00E36BE0"/>
    <w:rsid w:val="00E40960"/>
    <w:rsid w:val="00E65D59"/>
    <w:rsid w:val="00E8046A"/>
    <w:rsid w:val="00EA22EE"/>
    <w:rsid w:val="00EC2CE4"/>
    <w:rsid w:val="00F1647A"/>
    <w:rsid w:val="00F205F0"/>
    <w:rsid w:val="00F42B32"/>
    <w:rsid w:val="00F52ED1"/>
    <w:rsid w:val="00F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4543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Wytyczne dla rad instytutów, dotyczące przygotowania dokumentu określającego efekty kształcenia, będącego podstawą dla Senatu PWSZ do przyjęcia uchwały w sprawie efektów kształcenia</vt:lpstr>
      <vt:lpstr>Wytyczne dla rad instytutów, dotyczące przygotowania dokumentu określającego efekty kształcenia, będącego podstawą dla Senatu PWSZ do przyjęcia uchwały w sprawie efektów kształcenia</vt:lpstr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subject/>
  <dc:creator>aaaa</dc:creator>
  <cp:keywords/>
  <cp:lastModifiedBy>katarzyna olszewska</cp:lastModifiedBy>
  <cp:revision>2</cp:revision>
  <cp:lastPrinted>2013-03-06T10:58:00Z</cp:lastPrinted>
  <dcterms:created xsi:type="dcterms:W3CDTF">2014-05-09T14:31:00Z</dcterms:created>
  <dcterms:modified xsi:type="dcterms:W3CDTF">2014-05-09T14:31:00Z</dcterms:modified>
</cp:coreProperties>
</file>